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Дополнительная общеобразовательная общеразвивающая программа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Геофизика в современном городе».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Формат: кружок.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прикладная геофизика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left="3539" w:firstLine="1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 обучающихся: </w:t>
      </w:r>
      <w:r>
        <w:rPr>
          <w:rFonts w:ascii="Times New Roman" w:hAnsi="Times New Roman"/>
          <w:sz w:val="24"/>
          <w:szCs w:val="24"/>
        </w:rPr>
        <w:t xml:space="preserve">8-11 классы</w:t>
      </w:r>
      <w:r/>
    </w:p>
    <w:p>
      <w:pPr>
        <w:ind w:left="1418"/>
        <w:jc w:val="right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Срок реализации: </w:t>
      </w:r>
      <w:r>
        <w:rPr>
          <w:rFonts w:ascii="Times New Roman" w:hAnsi="Times New Roman"/>
          <w:sz w:val="24"/>
          <w:szCs w:val="24"/>
        </w:rPr>
        <w:t xml:space="preserve">1 учебный год</w:t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Руководитель направления: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Зайцев Дмитрий Леонидович</w:t>
      </w:r>
      <w:r>
        <w:rPr>
          <w:rFonts w:ascii="Times New Roman" w:hAnsi="Times New Roman"/>
          <w:color w:val="auto"/>
          <w:sz w:val="24"/>
          <w:szCs w:val="24"/>
        </w:rPr>
        <w:t xml:space="preserve">, кандидат ф.-м. наук, зам. директора ЛФИ МФТИ, с.н.с. кафедры вакуумной электроники МФТИ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Автор-составитель: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 xml:space="preserve">Зайцев Дмитрий Леонидович</w:t>
      </w:r>
      <w:r>
        <w:rPr>
          <w:rFonts w:ascii="Times New Roman" w:hAnsi="Times New Roman"/>
          <w:color w:val="auto"/>
          <w:sz w:val="24"/>
          <w:szCs w:val="24"/>
        </w:rPr>
        <w:t xml:space="preserve">, кандидат ф.-м. наук, зам. директора ЛФИ МФТИ, с.н.с. кафедры вакуумной электроники МФТИ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 xml:space="preserve">Гордеев Ярослав Андреевич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студент 4го курса МФТИ, </w:t>
      </w:r>
      <w:r>
        <w:rPr>
          <w:rFonts w:ascii="Times New Roman" w:hAnsi="Times New Roman"/>
          <w:color w:val="auto"/>
          <w:sz w:val="24"/>
          <w:szCs w:val="24"/>
        </w:rPr>
        <w:t xml:space="preserve">техник лаборатории скважинной, инженерной и разведочной геофизики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Курирующая лабораторию организация: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МФТИ</w:t>
      </w:r>
      <w:r>
        <w:rPr>
          <w:rFonts w:ascii="Times New Roman" w:hAnsi="Times New Roman"/>
          <w:color w:val="auto"/>
          <w:sz w:val="24"/>
          <w:szCs w:val="24"/>
        </w:rPr>
        <w:t xml:space="preserve"> (ГУ)</w:t>
      </w:r>
      <w:r/>
    </w:p>
    <w:p>
      <w:pPr>
        <w:ind w:left="5103"/>
        <w:spacing w:after="0" w:line="240" w:lineRule="auto"/>
        <w:widowControl w:val="off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Помещение №: </w:t>
      </w:r>
      <w:r>
        <w:rPr>
          <w:rFonts w:ascii="Times New Roman" w:hAnsi="Times New Roman"/>
          <w:color w:val="auto"/>
          <w:sz w:val="24"/>
          <w:szCs w:val="24"/>
        </w:rPr>
        <w:t xml:space="preserve">1.15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t xml:space="preserve">1</w:t>
      </w:r>
      <w:r>
        <w:rPr>
          <w:rFonts w:ascii="Times New Roman" w:hAnsi="Times New Roman"/>
          <w:color w:val="auto"/>
          <w:sz w:val="24"/>
          <w:szCs w:val="24"/>
        </w:rPr>
        <w:t xml:space="preserve"> этаж</w:t>
      </w:r>
      <w:r/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 xml:space="preserve">Долгопрудный</w:t>
      </w:r>
      <w:r>
        <w:rPr>
          <w:rFonts w:ascii="Times New Roman" w:hAnsi="Times New Roman"/>
          <w:sz w:val="24"/>
          <w:szCs w:val="24"/>
        </w:rPr>
        <w:t xml:space="preserve">, 202</w:t>
      </w:r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  <w:t xml:space="preserve">Раздел № 1. «Комплекс основных характеристик программы»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Пояснительная записка дополнительной общеобразовательной общеразвивающей программа 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общеразвивающая программа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«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Геофизика в современном городе»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. Формат: кружок.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Актуальность программы для РСО, обучающихся и их родителей</w:t>
      </w:r>
      <w:r/>
    </w:p>
    <w:p>
      <w:pPr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Программа подразумевает развитие у обучающихся творческого мышления и интеллектуальных способностей, формирование представ</w:t>
      </w:r>
      <w:r>
        <w:rPr>
          <w:rFonts w:ascii="Times New Roman" w:hAnsi="Times New Roman"/>
          <w:color w:val="auto"/>
          <w:sz w:val="24"/>
          <w:szCs w:val="24"/>
        </w:rPr>
        <w:t xml:space="preserve">ления об исследовательском обучении и обучении специальным навыкам и знаниям, а также путем привлечения обучающихся к ведущимся исследовательским работам. В рамках программы предполагается организация образовательного процесса, близкого к “системе Физтеха”</w:t>
      </w:r>
      <w:r>
        <w:rPr>
          <w:rFonts w:ascii="Times New Roman" w:hAnsi="Times New Roman"/>
          <w:color w:val="auto"/>
          <w:sz w:val="24"/>
          <w:szCs w:val="24"/>
        </w:rPr>
        <w:t xml:space="preserve">: заслуженные преподаватели-ученые ведут лекционный курс, рассчитанный на формирование у обучающихся</w:t>
      </w:r>
      <w:r>
        <w:rPr>
          <w:rFonts w:ascii="Times New Roman" w:hAnsi="Times New Roman"/>
          <w:color w:val="auto"/>
          <w:sz w:val="24"/>
          <w:szCs w:val="24"/>
        </w:rPr>
        <w:t xml:space="preserve"> 8-11 класса</w:t>
      </w:r>
      <w:r>
        <w:rPr>
          <w:rFonts w:ascii="Times New Roman" w:hAnsi="Times New Roman"/>
          <w:color w:val="auto"/>
          <w:sz w:val="24"/>
          <w:szCs w:val="24"/>
        </w:rPr>
        <w:t xml:space="preserve"> целостной физической картины мира</w:t>
      </w:r>
      <w:r>
        <w:rPr>
          <w:rFonts w:ascii="Times New Roman" w:hAnsi="Times New Roman"/>
          <w:color w:val="auto"/>
          <w:sz w:val="24"/>
          <w:szCs w:val="24"/>
        </w:rPr>
        <w:t xml:space="preserve"> и роли геофизики в ней</w:t>
      </w:r>
      <w:r>
        <w:rPr>
          <w:rFonts w:ascii="Times New Roman" w:hAnsi="Times New Roman"/>
          <w:color w:val="auto"/>
          <w:sz w:val="24"/>
          <w:szCs w:val="24"/>
        </w:rPr>
        <w:t xml:space="preserve">, студенты старшекурсники МФТИ проводят лабораторные </w:t>
      </w:r>
      <w:r>
        <w:rPr>
          <w:rFonts w:ascii="Times New Roman" w:hAnsi="Times New Roman"/>
          <w:color w:val="auto"/>
          <w:sz w:val="24"/>
          <w:szCs w:val="24"/>
        </w:rPr>
        <w:t xml:space="preserve">работы в рамках программы. Выполнение лабораторных работ предполагает предварительное самостоятельное изучение обучающимися методических пособий, демонстрация понимания цели выполнения работы, выполнение работы и составление отчета, сдача отчета в формате </w:t>
      </w:r>
      <w:r>
        <w:rPr>
          <w:rFonts w:ascii="Times New Roman" w:hAnsi="Times New Roman"/>
          <w:color w:val="auto"/>
          <w:sz w:val="24"/>
          <w:szCs w:val="24"/>
        </w:rPr>
        <w:t xml:space="preserve">устной беседы с преподавателем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/>
          <w:color w:val="auto"/>
          <w:sz w:val="24"/>
          <w:szCs w:val="24"/>
        </w:rPr>
        <w:t xml:space="preserve"> Программа нацелена на подготовку обучающихся к: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участию в проведении научных исследований в области геофизики, охраны природы и проектировании строений.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сбору и обработке геофизических данных для</w:t>
      </w:r>
      <w:r>
        <w:rPr>
          <w:rFonts w:ascii="Times New Roman" w:hAnsi="Times New Roman"/>
          <w:color w:val="auto"/>
          <w:sz w:val="24"/>
          <w:szCs w:val="24"/>
        </w:rPr>
        <w:t xml:space="preserve"> проведения комплекса сейсморазведочных мероприятий,</w:t>
      </w:r>
      <w:r>
        <w:rPr>
          <w:rFonts w:ascii="Times New Roman" w:hAnsi="Times New Roman"/>
          <w:color w:val="auto"/>
          <w:sz w:val="24"/>
          <w:szCs w:val="24"/>
        </w:rPr>
        <w:t xml:space="preserve"> оценки воздействий на окружающую среду</w:t>
      </w:r>
      <w:r>
        <w:rPr>
          <w:rFonts w:ascii="Times New Roman" w:hAnsi="Times New Roman"/>
          <w:color w:val="auto"/>
          <w:sz w:val="24"/>
          <w:szCs w:val="24"/>
        </w:rPr>
        <w:t xml:space="preserve">, оценки рисков при строительстве в труднодоступных или сейсмически активных районах.</w:t>
      </w:r>
      <w:r/>
    </w:p>
    <w:p>
      <w:pPr>
        <w:ind w:firstLine="708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самообучению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и непрерывному профессиональному самосовершенствованию в условиях конкурентной среды и модернизации производства. </w:t>
      </w:r>
      <w:r/>
    </w:p>
    <w:p>
      <w:pPr>
        <w:ind w:left="450"/>
        <w:jc w:val="both"/>
        <w:spacing w:beforeAutospacing="1"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Ученик должен знать/понимать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 xml:space="preserve">значение геофизики в комплексе наук о Земле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основы глобальной и экологической геофизики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Срок, объем и форма освоения программы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Срок реализации программы: </w:t>
      </w:r>
      <w:r>
        <w:rPr>
          <w:rFonts w:ascii="Times New Roman" w:hAnsi="Times New Roman"/>
          <w:color w:val="auto"/>
          <w:sz w:val="24"/>
          <w:szCs w:val="24"/>
        </w:rPr>
        <w:t xml:space="preserve">9</w:t>
      </w:r>
      <w:r>
        <w:rPr>
          <w:rFonts w:ascii="Times New Roman" w:hAnsi="Times New Roman"/>
          <w:color w:val="auto"/>
          <w:sz w:val="24"/>
          <w:szCs w:val="24"/>
        </w:rPr>
        <w:t xml:space="preserve"> месяцев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Общий учебный объем программы составляет </w:t>
      </w:r>
      <w:r>
        <w:rPr>
          <w:rFonts w:ascii="Times New Roman" w:hAnsi="Times New Roman"/>
          <w:color w:val="auto"/>
          <w:sz w:val="24"/>
          <w:szCs w:val="24"/>
        </w:rPr>
        <w:t xml:space="preserve">62</w:t>
      </w:r>
      <w:r>
        <w:rPr>
          <w:rFonts w:ascii="Times New Roman" w:hAnsi="Times New Roman"/>
          <w:color w:val="auto"/>
          <w:sz w:val="24"/>
          <w:szCs w:val="24"/>
        </w:rPr>
        <w:t xml:space="preserve"> час</w:t>
      </w:r>
      <w:r>
        <w:rPr>
          <w:rFonts w:ascii="Times New Roman" w:hAnsi="Times New Roman"/>
          <w:color w:val="auto"/>
          <w:sz w:val="24"/>
          <w:szCs w:val="24"/>
        </w:rPr>
        <w:t xml:space="preserve">а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Форма обучения: очно-кружковая.</w:t>
      </w:r>
      <w:r/>
    </w:p>
    <w:p>
      <w:pPr>
        <w:numPr>
          <w:ilvl w:val="1"/>
          <w:numId w:val="1"/>
        </w:numPr>
        <w:ind w:left="0" w:firstLine="0"/>
        <w:jc w:val="both"/>
        <w:spacing w:after="0" w:line="360" w:lineRule="auto"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Режим занятий, периодичность и продолжительность занятий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Количество часов и занятий в неделю: </w:t>
      </w:r>
      <w:r>
        <w:rPr>
          <w:rFonts w:ascii="Times New Roman" w:hAnsi="Times New Roman"/>
          <w:color w:val="auto"/>
          <w:sz w:val="24"/>
          <w:szCs w:val="24"/>
        </w:rPr>
        <w:t xml:space="preserve">5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Периодичность занятий: </w:t>
      </w:r>
      <w:r>
        <w:rPr>
          <w:rFonts w:ascii="Times New Roman" w:hAnsi="Times New Roman"/>
          <w:color w:val="auto"/>
          <w:sz w:val="24"/>
          <w:szCs w:val="24"/>
        </w:rPr>
        <w:t xml:space="preserve">5 раз в неделю для разных учебных групп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Продолжительность занятий: </w:t>
      </w:r>
      <w:r>
        <w:rPr>
          <w:rFonts w:ascii="Times New Roman" w:hAnsi="Times New Roman"/>
          <w:color w:val="auto"/>
          <w:sz w:val="24"/>
          <w:szCs w:val="24"/>
        </w:rPr>
        <w:t xml:space="preserve">1</w:t>
      </w:r>
      <w:r>
        <w:rPr>
          <w:rFonts w:ascii="Times New Roman" w:hAnsi="Times New Roman"/>
          <w:color w:val="auto"/>
          <w:sz w:val="24"/>
          <w:szCs w:val="24"/>
        </w:rPr>
        <w:t xml:space="preserve">,5</w:t>
      </w:r>
      <w:r>
        <w:rPr>
          <w:rFonts w:ascii="Times New Roman" w:hAnsi="Times New Roman"/>
          <w:color w:val="auto"/>
          <w:sz w:val="24"/>
          <w:szCs w:val="24"/>
        </w:rPr>
        <w:t xml:space="preserve">-2 </w:t>
      </w:r>
      <w:r>
        <w:rPr>
          <w:rFonts w:ascii="Times New Roman" w:hAnsi="Times New Roman"/>
          <w:color w:val="auto"/>
          <w:sz w:val="24"/>
          <w:szCs w:val="24"/>
        </w:rPr>
        <w:t xml:space="preserve">час</w:t>
      </w:r>
      <w:r>
        <w:rPr>
          <w:rFonts w:ascii="Times New Roman" w:hAnsi="Times New Roman"/>
          <w:color w:val="auto"/>
          <w:sz w:val="24"/>
          <w:szCs w:val="24"/>
        </w:rPr>
        <w:t xml:space="preserve">а</w:t>
      </w:r>
      <w:r>
        <w:rPr>
          <w:rFonts w:ascii="Times New Roman" w:hAnsi="Times New Roman"/>
          <w:color w:val="auto"/>
          <w:sz w:val="24"/>
          <w:szCs w:val="24"/>
        </w:rPr>
        <w:t xml:space="preserve">.</w:t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Цель и задачи программы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Цель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программы: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Развитие интереса у обучающихся к научным исследованиям, демонстрация обучающимся реальных практических зада</w:t>
      </w:r>
      <w:r>
        <w:rPr>
          <w:rFonts w:ascii="Times New Roman" w:hAnsi="Times New Roman"/>
          <w:color w:val="auto"/>
          <w:sz w:val="24"/>
          <w:szCs w:val="24"/>
        </w:rPr>
        <w:t xml:space="preserve">ч геофизики</w:t>
      </w:r>
      <w:r>
        <w:rPr>
          <w:rFonts w:ascii="Times New Roman" w:hAnsi="Times New Roman"/>
          <w:color w:val="auto"/>
          <w:sz w:val="24"/>
          <w:szCs w:val="24"/>
        </w:rPr>
        <w:t xml:space="preserve"> и методов их решения.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Задачи программы:</w:t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Личностные: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</w:t>
      </w:r>
      <w:r>
        <w:rPr>
          <w:rFonts w:ascii="Times New Roman" w:hAnsi="Times New Roman"/>
          <w:color w:val="333333"/>
          <w:sz w:val="24"/>
          <w:szCs w:val="24"/>
        </w:rPr>
        <w:t xml:space="preserve">ному выбору и построению дальнейшей индивидуальной образовательной траектории на базе ориентации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многообразие современного мира;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осознанного, уважительного и доброжелательного отношения к людям, к их мнению, мировоззрению, культуре, гражданской позиции;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готовности вести диалог с другими людьми и достигать в нём взаимопонимания; 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освоение социальных норм, правил поведения, ролей в группах и сообществах, понимание ответственности; 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коммуникативной компетентности в общении и сотрудничестве со сверстниками, взрослыми в процессе образовательной, общественно полезной, учебно-исследовательской, творческой и других видов деятельности;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ориентация в деятельности на первоначальные представления о научной картине мира и потребность в самостоятельной деятельности;</w:t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Метапредметные: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соотносить сво</w:t>
      </w:r>
      <w:r>
        <w:rPr>
          <w:rFonts w:ascii="Times New Roman" w:hAnsi="Times New Roman"/>
          <w:color w:val="333333"/>
          <w:sz w:val="24"/>
          <w:szCs w:val="24"/>
        </w:rPr>
        <w:t xml:space="preserve">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оценивать правильность выполнения учебной задачи, собственные возможности её решения;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общеразвивающей деятельности;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систематизировать,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 и делать выводы;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решение; формулировать, аргументировать и выражать свою точку зрения;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пользоваться терминологией;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и развитие компетентности в области использования информационно-коммуникационных технологий;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способности действовать по алгоритму, способности к саморегуляции и к самоконтролю. </w:t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Образовательные: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формирование у обучающихся цельного представления о структуре и составе Земли</w:t>
      </w:r>
      <w:r>
        <w:rPr>
          <w:rFonts w:ascii="Times New Roman" w:hAnsi="Times New Roman"/>
          <w:color w:val="333333"/>
          <w:sz w:val="24"/>
          <w:szCs w:val="24"/>
        </w:rPr>
        <w:t xml:space="preserve">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изучение </w:t>
      </w:r>
      <w:r>
        <w:rPr>
          <w:rFonts w:ascii="Times New Roman" w:hAnsi="Times New Roman"/>
          <w:sz w:val="24"/>
          <w:szCs w:val="24"/>
        </w:rPr>
        <w:t xml:space="preserve">причин появления, методов прогнозирования и локализации очагов землетрясений</w:t>
      </w:r>
      <w:r>
        <w:rPr>
          <w:rFonts w:ascii="Times New Roman" w:hAnsi="Times New Roman"/>
          <w:sz w:val="24"/>
          <w:szCs w:val="24"/>
        </w:rPr>
        <w:t xml:space="preserve">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изучение </w:t>
      </w:r>
      <w:r>
        <w:rPr>
          <w:rFonts w:ascii="Times New Roman" w:hAnsi="Times New Roman"/>
          <w:sz w:val="24"/>
          <w:szCs w:val="24"/>
        </w:rPr>
        <w:t xml:space="preserve">причин повреждений/разрушений зданий</w:t>
      </w:r>
      <w:r>
        <w:rPr>
          <w:rFonts w:ascii="Times New Roman" w:hAnsi="Times New Roman"/>
          <w:sz w:val="24"/>
          <w:szCs w:val="24"/>
        </w:rPr>
        <w:t xml:space="preserve">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изучение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особенностей строительства в сейсмически активных районах, знакомство с методами построения моделей для проведения расчетов по обеспечению прочности конструкций;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знакомство со стихийными причинами возникновения ЧС;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изучение методов защиты людей и сооружений при ЧС;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знакомство с возможными поверхностными источниками сейсмических сигналов;</w:t>
      </w:r>
      <w:r/>
    </w:p>
    <w:p>
      <w:pPr>
        <w:numPr>
          <w:ilvl w:val="0"/>
          <w:numId w:val="2"/>
        </w:numPr>
        <w:spacing w:after="150" w:line="240" w:lineRule="auto"/>
        <w:shd w:val="clear" w:color="auto" w:fill="ffffff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изучение методов локализации поверхностного источника сейсмических сигналов.</w:t>
      </w:r>
      <w:r/>
    </w:p>
    <w:p>
      <w:pPr>
        <w:pStyle w:val="635"/>
        <w:rPr>
          <w:rFonts w:ascii="Times New Roman" w:hAnsi="Times New Roman"/>
          <w:bCs/>
          <w:iCs/>
          <w:color w:val="ff0000"/>
          <w:sz w:val="24"/>
          <w:szCs w:val="24"/>
        </w:rPr>
      </w:pPr>
      <w:r>
        <w:rPr>
          <w:rFonts w:ascii="Times New Roman" w:hAnsi="Times New Roman"/>
          <w:bCs/>
          <w:iCs/>
          <w:color w:val="ff0000"/>
          <w:sz w:val="24"/>
          <w:szCs w:val="24"/>
        </w:rPr>
      </w:r>
      <w:r/>
    </w:p>
    <w:p>
      <w:pPr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Практические и внедренческие:</w:t>
      </w:r>
      <w:r/>
    </w:p>
    <w:p>
      <w:pPr>
        <w:numPr>
          <w:ilvl w:val="0"/>
          <w:numId w:val="2"/>
        </w:numPr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умение анализировать, систематизировать, обобщать информацию;</w:t>
      </w:r>
      <w:r/>
    </w:p>
    <w:p>
      <w:pPr>
        <w:numPr>
          <w:ilvl w:val="0"/>
          <w:numId w:val="2"/>
        </w:numPr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умение применять теоретические знания для решения практических задач;</w:t>
      </w:r>
      <w:r/>
    </w:p>
    <w:p>
      <w:pPr>
        <w:pStyle w:val="635"/>
        <w:numPr>
          <w:ilvl w:val="0"/>
          <w:numId w:val="2"/>
        </w:numPr>
        <w:jc w:val="both"/>
        <w:spacing w:after="0" w:line="360" w:lineRule="auto"/>
        <w:tabs>
          <w:tab w:val="left" w:pos="993" w:leader="none"/>
        </w:tabs>
        <w:rPr>
          <w:rFonts w:ascii="Times New Roman" w:hAnsi="Times New Roman"/>
          <w:b/>
          <w:i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использование моделей, алгоритмов и вычислений для решения поставленных задач.</w:t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ind w:left="720"/>
        <w:spacing w:after="0" w:line="240" w:lineRule="auto"/>
        <w:tabs>
          <w:tab w:val="left" w:pos="228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Содержание программы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Style w:val="669"/>
        <w:tblW w:w="0" w:type="auto"/>
        <w:tblLayout w:type="fixed"/>
        <w:tblLook w:val="04A0" w:firstRow="1" w:lastRow="0" w:firstColumn="1" w:lastColumn="0" w:noHBand="0" w:noVBand="1"/>
      </w:tblPr>
      <w:tblGrid>
        <w:gridCol w:w="1104"/>
        <w:gridCol w:w="6801"/>
        <w:gridCol w:w="2515"/>
      </w:tblGrid>
      <w:tr>
        <w:trPr/>
        <w:tc>
          <w:tcPr>
            <w:tcW w:w="11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</w:t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Задачи и источники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Блок Сейсм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ология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(делает Шишкин)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Вводное лекционное занятие, инструктаж по технике безопасности.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 xml:space="preserve">А) Общие вопросы сейсмологии Б) Основные термины и понятия В) Современные схемы районирования сейсмичности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Формирование представления о целях и задачах программы у обучающихся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Сейсмология и внутреннее строение Земли А) Сейсмические волны - главный источник информации о глубинном строении Земли. Б) Собственные колебания Земли. В) Внутреннее строение Земли. Г) Литосфера и астеносфера. Типы земной коры. Модель континентальной коры.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Знакомство обучающихся со строением Земли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Сейсмичность З</w:t>
            </w:r>
            <w:r>
              <w:rPr>
                <w:rFonts w:ascii="Times New Roman" w:hAnsi="Times New Roman"/>
                <w:color w:val="auto"/>
              </w:rPr>
              <w:t xml:space="preserve">емли А) Общие закономерности распределения землетрясений Б) Оценка интенсивности землетрясений. Определение координат и времени очага В) Механизм очага землетрясений Г) Палеосейсмодислокации Д)Катастрофические (особо разрушительные) и сильные землетрясения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Изучение причин появления, методов прогнозиров</w:t>
            </w:r>
            <w:r>
              <w:rPr>
                <w:rFonts w:ascii="Times New Roman" w:hAnsi="Times New Roman"/>
                <w:szCs w:val="22"/>
              </w:rPr>
              <w:t xml:space="preserve">ания и локализации очагов землетрясений. 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Сейсмичность территории России. А) Схема тектонического районирования, геологическое строение Б) Схема сейсмического районирования России. В) Сейсмические пояса и зоны России Г) Мониторинг землетрясений на территории России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Знакомство обучающихся с системой мониторинга землетрясений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Сейсмичность мира. А) Литосферные плиты и сейсмичность Б) Сейсмические пояса (Внутриазиатский, Средиземноморский, Западно- и ВосточноТихоокеанский, Восточной Африки) В) Техногенные землетрясения Г) Прогноз землетрясений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Изучение причин появления, методов прогнозирования и локализации очагов землетрясений.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Блок Микроколебания зданий и сооружений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Элементы инженерной сейсмологии. А) Характеристика землетрясений. Б) Сейсмическое районирование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Изучение причин повреждений/разрушений </w:t>
            </w:r>
            <w:r>
              <w:rPr>
                <w:rFonts w:ascii="Times New Roman" w:hAnsi="Times New Roman"/>
                <w:szCs w:val="22"/>
              </w:rPr>
              <w:t xml:space="preserve">зданий и конструкций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Методы активной сейсмозащиты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Знакомство</w:t>
            </w:r>
            <w:r>
              <w:rPr>
                <w:rFonts w:ascii="Times New Roman" w:hAnsi="Times New Roman"/>
                <w:szCs w:val="22"/>
              </w:rPr>
              <w:t xml:space="preserve"> обучающихся</w:t>
            </w:r>
            <w:r>
              <w:rPr>
                <w:rFonts w:ascii="Times New Roman" w:hAnsi="Times New Roman"/>
                <w:szCs w:val="22"/>
              </w:rPr>
              <w:t xml:space="preserve"> с методами активной сейсмозащиты</w:t>
            </w:r>
            <w:r>
              <w:rPr>
                <w:rFonts w:ascii="Times New Roman" w:hAnsi="Times New Roman"/>
                <w:szCs w:val="22"/>
              </w:rPr>
              <w:t xml:space="preserve">.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Конструктивные системы зданий и сооружений для строительства в сейсмоактивных районах.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Знакомство с особенностями строительства в сейсмически активных районах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</w:rPr>
              <w:t xml:space="preserve">Основные положения расчета зданий и сооружений на сейсмические воздействия.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Знакомство с методами построения моделей для проведения расчетов по обеспечению прочности конструкций.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Блок Влияние вибраций на жизнь людей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9f9f7"/>
              </w:rPr>
              <w:t xml:space="preserve">Стихийные бедствия</w:t>
            </w:r>
            <w:r>
              <w:rPr>
                <w:rFonts w:ascii="Times New Roman" w:hAnsi="Times New Roman"/>
                <w:shd w:val="clear" w:color="auto" w:fill="f9f9f7"/>
              </w:rPr>
              <w:t xml:space="preserve"> их </w:t>
            </w:r>
            <w:r>
              <w:rPr>
                <w:rFonts w:ascii="Times New Roman" w:hAnsi="Times New Roman"/>
                <w:shd w:val="clear" w:color="auto" w:fill="f9f9f7"/>
              </w:rPr>
              <w:t xml:space="preserve">динамика, последствия, прогнозирование.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со стихийными причинами возникновения ЧС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9f9f7"/>
              </w:rPr>
              <w:t xml:space="preserve">Характеристика поражающих факторов ЧС природного характера. Пути снижения вероятности возникновения ЧС.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методов защиты людей и сооружений при ЧС.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hd w:val="clear" w:color="auto" w:fill="f9f9f7"/>
              </w:rPr>
              <w:t xml:space="preserve">Прогнозирование и оценки обстановки в зоне возможного действия поражающих факторов ЧС. Прогноз обстановки с помощью аппарата ситуационных моделей и геоинформационных систем. Модели распространения примесей в атмосфере и гидросфере. Их адекватность.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методов детектирования ЧС 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Блок Поверхностные источники сейсмических сигналов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Классификация поверхностных источников сейсмических сигналов. 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возможными поверхностными источниками сейсмических сигналов</w:t>
            </w:r>
            <w:r/>
          </w:p>
        </w:tc>
      </w:tr>
      <w:tr>
        <w:trPr/>
        <w:tc>
          <w:tcPr>
            <w:tcW w:w="1104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680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локализации источника.</w:t>
            </w:r>
            <w:r/>
          </w:p>
        </w:tc>
        <w:tc>
          <w:tcPr>
            <w:tcW w:w="251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методов локализации поверхностного источника сейсмических сигналов.</w:t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before="24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Планируемые результаты</w:t>
      </w:r>
      <w:r/>
    </w:p>
    <w:tbl>
      <w:tblPr>
        <w:tblW w:w="0" w:type="auto"/>
        <w:tblInd w:w="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Обобщенный результат (компетенция)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проявления компетенции</w:t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Личностные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Способность к смыслообразованию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стремление к получению качественного законченного результата;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высокая учебная мотивация, стремление к познанию;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способность к анализу явлений и событий, объективному (рефлексивному, обоснованному, аргументированному, независимому – в отличие от конформизма) взгляду на идеи;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определять свои образовательные интересы и потребности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готовность и способность к самообразованию и саморазвитию;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профессиональная ориентация и определение профессиональных предпочтений.</w:t>
            </w:r>
            <w:r/>
          </w:p>
          <w:p>
            <w:pPr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Метапредметные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Компетентность в области использования информационно-коммуникационных технологий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360" w:lineRule="auto"/>
              <w:tabs>
                <w:tab w:val="left" w:pos="993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Владение цифровыми навыками такими как работа с информацией, работа с данными;</w:t>
            </w:r>
            <w:r/>
          </w:p>
          <w:p>
            <w:pPr>
              <w:jc w:val="both"/>
              <w:spacing w:after="0" w:line="360" w:lineRule="auto"/>
              <w:tabs>
                <w:tab w:val="left" w:pos="993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Постановка задач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стандартных ситуациях, нахождение альтернативного решения, совмещение традиционных и новых способов деятельности;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осуществлять самоконтроль, самооценку, принимать решения и осуществлять осознанный выбор в познавательной и учебной деятельности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Предметные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предметной деятельности по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получению, преобразованию и применению нового знания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анализировать, систематизировать, обобщать информацию;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применять теоретические знания для решения практических задач;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алгоритмов, правил и вычислений для решения поставленных задач.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 xml:space="preserve">Практические и внедренческие результаты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Опыт предметной деятельности по получению, преобразованию и применению нового знания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6379" w:type="dxa"/>
            <w:textDirection w:val="lrTb"/>
            <w:noWrap w:val="false"/>
          </w:tcPr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анализировать, систематизировать, обобщать информацию;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умение применять теоретические знания для решения практических задач;</w:t>
            </w:r>
            <w:r/>
          </w:p>
          <w:p>
            <w:pPr>
              <w:numPr>
                <w:ilvl w:val="0"/>
                <w:numId w:val="4"/>
              </w:numPr>
              <w:ind w:left="0" w:firstLine="0"/>
              <w:spacing w:after="0" w:line="240" w:lineRule="auto"/>
              <w:tabs>
                <w:tab w:val="left" w:pos="228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моделей,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алгоритмов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 вычислений для решения поставленных задач.</w:t>
            </w:r>
            <w:r/>
          </w:p>
        </w:tc>
      </w:tr>
    </w:tbl>
    <w:p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№ 2. «Комплекс организационно-педагогических условий»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Календарный учебный график</w:t>
      </w:r>
      <w:r/>
    </w:p>
    <w:tbl>
      <w:tblPr>
        <w:tblStyle w:val="66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851"/>
        <w:gridCol w:w="1240"/>
        <w:gridCol w:w="1277"/>
      </w:tblGrid>
      <w:tr>
        <w:trPr>
          <w:trHeight w:val="463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val="en-US"/>
              </w:rPr>
              <w:t xml:space="preserve">N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п/п</w:t>
            </w:r>
            <w:r/>
          </w:p>
        </w:tc>
        <w:tc>
          <w:tcPr>
            <w:tcW w:w="411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Наименование разделов / Тема</w:t>
            </w:r>
            <w:r/>
          </w:p>
        </w:tc>
        <w:tc>
          <w:tcPr>
            <w:tcW w:w="85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Кол- во (ч)</w:t>
            </w:r>
            <w:r/>
          </w:p>
        </w:tc>
        <w:tc>
          <w:tcPr>
            <w:gridSpan w:val="2"/>
            <w:tcW w:w="251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Дата изучения (проведения)</w:t>
            </w:r>
            <w:r/>
          </w:p>
        </w:tc>
      </w:tr>
      <w:tr>
        <w:trPr>
          <w:trHeight w:val="664"/>
        </w:trPr>
        <w:tc>
          <w:tcPr>
            <w:tcW w:w="67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val="en-US"/>
              </w:rPr>
            </w:r>
            <w:r/>
          </w:p>
        </w:tc>
        <w:tc>
          <w:tcPr>
            <w:tcW w:w="411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851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По плану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 факту</w:t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Вводный урок. Инструктаж по технике безопасности во время занятий. Знакомство с новым курсом.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нед.сен.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Сейсмология и внутреннее строение Земли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нед.сен.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Сейсмичность Земли</w:t>
            </w:r>
            <w:r/>
          </w:p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r>
            <w:r/>
          </w:p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нед.сен.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4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Сейсмичность территории России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нед.сен.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5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Лабораторная работа “Сейсмические сигналы в жидких средах”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нед.окт.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6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Сдача лабораторной работы “Сейсмические сигналы в жидких средах”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нед.окт.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7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Сейсмичность мира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нед.окт.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8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Сейсмичность мира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нед.окт.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9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Элементы инженерной сейсмологии</w:t>
            </w:r>
            <w:r/>
          </w:p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нояб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10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Методы активной сейсмозащиты</w:t>
            </w:r>
            <w:r/>
          </w:p>
          <w:p>
            <w:pPr>
              <w:rPr>
                <w:rFonts w:ascii="Times New Roman" w:hAnsi="Times New Roman"/>
                <w:b/>
                <w:bCs/>
                <w:color w:val="333333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333333"/>
                <w:sz w:val="24"/>
                <w:szCs w:val="22"/>
              </w:rPr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нояб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11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333333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Лабораторная работа “Микроколебания зданий и сооружений”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нояб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12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333333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Сдача лабораторной работы “Микроколебания зданий и сооружений”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нояб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13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Конструктивные системы зданий и сооружений для строительства в сейсмоактивных районах.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дек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14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Конструктивные системы зданий и сооружений для строительства в сейсмоактивных районах.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дек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15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Основные положения расчета зданий и сооружений на сейсмические воздействия.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дек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16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Основные положения расчета зданий и сооружений на сейсмические воздействия.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дек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17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Лабораторная работа “Моделирование микроколебаний зданий и сооружений”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янв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18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Сдача лабораторной работы “Моделирование микроколебаний зданий и сооружений”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янв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19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Стихийные бедствия, их динамика, последствия, прогнозирование.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янв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20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Стихийные бедствия, их динамика, последствия, прогнозирование.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фев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21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Характеристика поражающих факторов ЧС природного характера.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фев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22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Характеристика поражающих факторов ЧС природного характера.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фев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23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Прогнозирование и оценки обстановки в зоне возможного действия поражающих факторов ЧС.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фев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25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2"/>
                <w:shd w:val="clear" w:color="auto" w:fill="f9f9f7"/>
              </w:rPr>
              <w:t xml:space="preserve">Прогнозирование и оценки обстановки в зоне возможного действия поражающих факторов ЧС.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марта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26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“Определение уровня шума в помещении и оценка влияния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вибраций на здоровье человека”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марта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27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Сдача лабораторной работы “ Определение уровня шума в помещении и оценка влияния вибраций на здоровье человека 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марта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28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Классификация поверхностных источников сейсмических сигналов.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марта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29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Классификация поверхностных источников сейсмических сигналов.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апр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30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локализации источника.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апр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31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локализации источника.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1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апр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32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“Моделирование распространения сейсмических волн от поверхностного источника”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апр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33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Сдача лабораторной работы “Моделирование распространения сейсмических волн от поверхностного источника”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 нед. мая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34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Лабораторная работа “Методы локализации поверхностного источника”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2 нед. мая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35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Сдача лабораторной работы “Методы локализации поверхностного источника”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2</w:t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 нед. мая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  <w:tr>
        <w:trPr>
          <w:trHeight w:val="664"/>
        </w:trPr>
        <w:tc>
          <w:tcPr>
            <w:tcW w:w="67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Резерв на праздники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  <w:tc>
          <w:tcPr>
            <w:tcW w:w="1240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4 нед. мая</w:t>
            </w:r>
            <w:r/>
          </w:p>
        </w:tc>
        <w:tc>
          <w:tcPr>
            <w:tcW w:w="127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</w:rPr>
            </w:r>
            <w:r/>
          </w:p>
        </w:tc>
      </w:tr>
    </w:tbl>
    <w:p>
      <w:pPr>
        <w:ind w:left="34"/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Условия реализации программы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Возможность использовать для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проведения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лабораторных работ полигон/бассейн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.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Наличие достаточного количества компьютеров, для проведения лабораторных работ по моделированию.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Перечень оборудования, необходимого для реализации программы</w:t>
      </w:r>
      <w:r/>
    </w:p>
    <w:p>
      <w:pPr>
        <w:ind w:left="34"/>
        <w:jc w:val="both"/>
        <w:spacing w:before="200" w:after="0" w:line="360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Паяльные станции на 3 рабочих места со всем необходимым,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термокамера, имитатор движения, источники питания, аккумуляторы, набор инструментов, АЦП, калибратор,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цифровые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линеный и угловые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акселерометры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и велосиметры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цифровые широкополосные и короткопериодные сейсмометры, системы сбора данных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, термокамера, одноосный имитатор движения.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Перечень кадрового состава, реализующего программу</w:t>
      </w:r>
      <w:r/>
    </w:p>
    <w:tbl>
      <w:tblPr>
        <w:tblStyle w:val="669"/>
        <w:tblW w:w="0" w:type="auto"/>
        <w:tblLook w:val="04A0" w:firstRow="1" w:lastRow="0" w:firstColumn="1" w:lastColumn="0" w:noHBand="0" w:noVBand="1"/>
      </w:tblPr>
      <w:tblGrid>
        <w:gridCol w:w="1484"/>
        <w:gridCol w:w="1722"/>
        <w:gridCol w:w="1774"/>
        <w:gridCol w:w="1725"/>
        <w:gridCol w:w="1746"/>
        <w:gridCol w:w="1969"/>
      </w:tblGrid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№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ФИО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Степень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Звание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Осн. Место работы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Комментарий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1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Зайцев Дмитрий Леонидович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Кандидат физ.-мат. наук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Лаборатория вакуумной электроники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МФТИ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С.н.с.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2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Шишкин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Александр Алексеевич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en-US"/>
              </w:rPr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3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Гордеев Ярослав Андреевич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Лаборатория скважинной, инженерной и разведочной геофизики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МФТИ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студент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4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Мусин Ростислав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Дмитриевич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Лаборатория скважинной, инженерной и разведочной геофизики, МФТИ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студент</w:t>
            </w:r>
            <w:r/>
          </w:p>
        </w:tc>
      </w:tr>
      <w:tr>
        <w:trPr/>
        <w:tc>
          <w:tcPr>
            <w:tcW w:w="149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5</w:t>
            </w:r>
            <w:r/>
          </w:p>
        </w:tc>
        <w:tc>
          <w:tcPr>
            <w:tcW w:w="1680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Акинина Анна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Владимировна</w:t>
            </w:r>
            <w:r/>
          </w:p>
        </w:tc>
        <w:tc>
          <w:tcPr>
            <w:tcW w:w="178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36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</w:t>
            </w:r>
            <w:r/>
          </w:p>
        </w:tc>
        <w:tc>
          <w:tcPr>
            <w:tcW w:w="1749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Лаборатория скважинной, инженерной и разведочной геофизики, МФТИ</w:t>
            </w:r>
            <w:r/>
          </w:p>
        </w:tc>
        <w:tc>
          <w:tcPr>
            <w:tcW w:w="1973" w:type="dxa"/>
            <w:textDirection w:val="lrTb"/>
            <w:noWrap w:val="false"/>
          </w:tcPr>
          <w:p>
            <w:pPr>
              <w:jc w:val="both"/>
              <w:spacing w:before="200" w:line="36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студент</w:t>
            </w:r>
            <w:r/>
          </w:p>
        </w:tc>
      </w:tr>
    </w:tbl>
    <w:p>
      <w:pPr>
        <w:jc w:val="both"/>
        <w:spacing w:before="200"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</w:t>
      </w:r>
      <w:r>
        <w:rPr>
          <w:rFonts w:ascii="Times New Roman" w:hAnsi="Times New Roman"/>
          <w:b/>
          <w:sz w:val="24"/>
          <w:szCs w:val="24"/>
        </w:rPr>
        <w:t xml:space="preserve">. Список литературы</w:t>
      </w:r>
      <w:r>
        <w:rPr>
          <w:rFonts w:ascii="Times New Roman" w:hAnsi="Times New Roman"/>
          <w:b/>
          <w:sz w:val="24"/>
          <w:szCs w:val="24"/>
        </w:rPr>
        <w:t xml:space="preserve"> и источников</w:t>
      </w:r>
      <w:r/>
    </w:p>
    <w:p>
      <w:p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b/>
          <w:bCs/>
          <w:color w:val="303030"/>
          <w:sz w:val="24"/>
          <w:szCs w:val="24"/>
        </w:rPr>
        <w:t xml:space="preserve">Основная литература: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Матяш, Н.В. Инновационные педагогические технологии: проектное обучение [Текст]: учеб. пособие для вузов / Н. В. Матяш. – 4-е изд., стереотип. – М. : Академия, 2016. – 160с.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Инновационные педагогические технологии  [Текст] :  учебное пособие / М. Н. Гуслова. – 5-е изд. – М.: Академия, 2016. – 288 с.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Современные образовательные технологии [Текст] : учебное пособие / под ред. Н. В. Бордовской. – 3-изд., стереотип. – М.: КноРус, 2015. – 432 с.</w:t>
      </w:r>
      <w:r/>
    </w:p>
    <w:p>
      <w:pPr>
        <w:numPr>
          <w:ilvl w:val="0"/>
          <w:numId w:val="8"/>
        </w:numPr>
        <w:spacing w:before="100" w:beforeAutospacing="1" w:after="240" w:line="240" w:lineRule="auto"/>
        <w:shd w:val="clear" w:color="auto" w:fill="ffffff"/>
        <w:rPr>
          <w:rFonts w:ascii="Times New Roman" w:hAnsi="Times New Roman"/>
          <w:color w:val="212529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</w:rPr>
        <w:t xml:space="preserve">Борисов, А. Ф. Чрезвычайные ситуации (источники, прогноз, защита) : учеб. пособие / А. Ф. Борисов, М. П. Пьянзин ; Нижегор. гос. архитектур.-строит. ин-т. - Нижний Новгород : Вента-2, 2004. - 179 с. : ил.</w:t>
      </w:r>
      <w:r/>
    </w:p>
    <w:p>
      <w:pPr>
        <w:pStyle w:val="671"/>
        <w:numPr>
          <w:ilvl w:val="0"/>
          <w:numId w:val="8"/>
        </w:numPr>
        <w:jc w:val="both"/>
        <w:spacing w:before="15" w:beforeAutospacing="0" w:after="0" w:afterAutospacing="0" w:line="285" w:lineRule="atLeast"/>
        <w:rPr>
          <w:color w:val="000000"/>
        </w:rPr>
      </w:pPr>
      <w:r>
        <w:rPr>
          <w:rStyle w:val="672"/>
          <w:i/>
          <w:iCs/>
          <w:color w:val="000000"/>
        </w:rPr>
        <w:t xml:space="preserve">Акимов, В. А. </w:t>
      </w:r>
      <w:r>
        <w:rPr>
          <w:color w:val="000000"/>
        </w:rPr>
        <w:t xml:space="preserve">Методический аппарат исследования природного и техногенного рисков / В. А. Акимов, Н. Н. Радаев // Безопасность жизнедеятельности. — 2001. —</w:t>
      </w:r>
      <w:r>
        <w:rPr>
          <w:rStyle w:val="674"/>
          <w:color w:val="000000"/>
        </w:rPr>
        <w:t xml:space="preserve">№</w:t>
      </w:r>
      <w:r>
        <w:rPr>
          <w:rStyle w:val="675"/>
          <w:color w:val="000000"/>
        </w:rPr>
        <w:t xml:space="preserve">2. — С. </w:t>
      </w:r>
      <w:r>
        <w:rPr>
          <w:color w:val="000000"/>
        </w:rPr>
        <w:t xml:space="preserve">34—38.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8"/>
          <w:szCs w:val="28"/>
        </w:rPr>
      </w:pPr>
      <w:r>
        <w:rPr>
          <w:rFonts w:ascii="Times New Roman" w:hAnsi="Times New Roman"/>
          <w:sz w:val="24"/>
          <w:szCs w:val="22"/>
        </w:rPr>
        <w:t xml:space="preserve">Вероятностные методы строительной механики и теория надежности строительных конструкций [Электронный ресурс] : учебное пособие : 2-х частях / В.А. Пшеничкина, Г.В. Воронкова, С.С. Рекунов, А.А. Чураков ; Министерство об</w:t>
      </w:r>
      <w:r>
        <w:rPr>
          <w:rFonts w:ascii="Times New Roman" w:hAnsi="Times New Roman"/>
          <w:sz w:val="24"/>
          <w:szCs w:val="22"/>
        </w:rPr>
        <w:t xml:space="preserve">разования и науки Российской Федерации, Волгоградский государственный архитектурно-строительный университет. - Волгоград : Волгоградский государственный архитектурно-строительный университет, 2015. - Ч. I. - 92 с. (ЭБС "Университетская библиотека онлайн").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32"/>
          <w:szCs w:val="32"/>
        </w:rPr>
      </w:pPr>
      <w:r>
        <w:rPr>
          <w:rFonts w:ascii="Times New Roman" w:hAnsi="Times New Roman"/>
          <w:sz w:val="24"/>
          <w:szCs w:val="22"/>
        </w:rPr>
        <w:t xml:space="preserve">Сейсмозащитные устройства: актуальные проблемы сейсмобезопасности [Эл</w:t>
      </w:r>
      <w:r>
        <w:rPr>
          <w:rFonts w:ascii="Times New Roman" w:hAnsi="Times New Roman"/>
          <w:sz w:val="24"/>
          <w:szCs w:val="22"/>
        </w:rPr>
        <w:t xml:space="preserve">ектронный ресурс] : монография / Министерство образования и науки Российской Федерации, Сибирский Федеральный университет ; под ред. Н.П. Абовского. - Красноярск : Сибирский федеральный университет, 2013. - 99 с. (ЭБС "Университетская библиотека онлайн"). </w:t>
      </w:r>
      <w:r/>
    </w:p>
    <w:p>
      <w:pPr>
        <w:numPr>
          <w:ilvl w:val="0"/>
          <w:numId w:val="8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32"/>
          <w:szCs w:val="32"/>
        </w:rPr>
      </w:pPr>
      <w:r>
        <w:rPr>
          <w:rFonts w:ascii="Times New Roman" w:hAnsi="Times New Roman"/>
          <w:sz w:val="24"/>
          <w:szCs w:val="22"/>
        </w:rPr>
        <w:t xml:space="preserve">Пособие по проектированию каркасных промзданий для строительства в сейсмических районах (к СНиП II-7-81) (утв. Приказом Госстроя СССР от 28.02.1983 N 22) (Справочная правовая система «КонсультантПлюс»).</w:t>
      </w:r>
      <w:r/>
    </w:p>
    <w:p>
      <w:pPr>
        <w:spacing w:after="0" w:line="240" w:lineRule="auto"/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  <w:t xml:space="preserve">Дополнительная литература: </w:t>
      </w:r>
      <w:r/>
    </w:p>
    <w:p>
      <w:pPr>
        <w:numPr>
          <w:ilvl w:val="0"/>
          <w:numId w:val="9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Гац, И. Ю. Средства оценивания результатов обучения : терминологический помощник [Электронный ресурс] : учебное пособие / И.Ю. Гац. – Электрон. текстовые дан. (2,06 Мб). – М. : ИИУ МГОУ, 2018. – 1 CD-ROM .</w:t>
      </w:r>
      <w:r/>
    </w:p>
    <w:p>
      <w:pPr>
        <w:numPr>
          <w:ilvl w:val="0"/>
          <w:numId w:val="9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Гац, И. Ю. Педагогическая практика: трудный путь её преобразования [Текст] / И. Ю. Гац // Инновационная деят</w:t>
      </w:r>
      <w:r>
        <w:rPr>
          <w:rFonts w:ascii="Times New Roman" w:hAnsi="Times New Roman"/>
          <w:color w:val="303030"/>
          <w:sz w:val="24"/>
          <w:szCs w:val="24"/>
        </w:rPr>
        <w:t xml:space="preserve">ельность в образовании: мат-лы Х междунар. научно-практ. конф. / НОЧУ ДПО «Институт развития образовательных технологий»; МАНПО; ФГБНУ «Институт стратегии развития образования РАО // под общ. ред. Г. П. Новиковой. – Ч. 1. – М.: Канцлер, 2016. – С. 187–191.</w:t>
      </w:r>
      <w:r/>
    </w:p>
    <w:p>
      <w:pPr>
        <w:numPr>
          <w:ilvl w:val="0"/>
          <w:numId w:val="9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3"/>
          <w:szCs w:val="23"/>
        </w:rPr>
      </w:pPr>
      <w:r>
        <w:rPr>
          <w:rFonts w:ascii="Times New Roman" w:hAnsi="Times New Roman"/>
          <w:color w:val="303030"/>
          <w:sz w:val="24"/>
          <w:szCs w:val="24"/>
        </w:rPr>
        <w:t xml:space="preserve">Федеральные государственные образовательные стандарты общего образования [Электронный ресурс] – URL: </w:t>
      </w:r>
      <w:hyperlink r:id="rId10" w:tooltip="http://xn--80abucjiibhv9a.xn--p1ai/%D0%B4%D0%BE%D0%BA%D1%83%D0%BC%D0%B5%D0%BD%D1%82%D1%8B" w:history="1">
        <w:r>
          <w:rPr>
            <w:rStyle w:val="648"/>
            <w:rFonts w:ascii="Times New Roman" w:hAnsi="Times New Roman"/>
            <w:color w:val="100f0f"/>
            <w:sz w:val="24"/>
            <w:szCs w:val="24"/>
          </w:rPr>
          <w:t xml:space="preserve">http://минобрнауки.рф/документы</w:t>
        </w:r>
      </w:hyperlink>
      <w:r>
        <w:rPr>
          <w:rFonts w:ascii="Times New Roman" w:hAnsi="Times New Roman"/>
          <w:color w:val="303030"/>
          <w:sz w:val="23"/>
          <w:szCs w:val="23"/>
        </w:rPr>
        <w:t xml:space="preserve">  </w:t>
      </w:r>
      <w:r/>
    </w:p>
    <w:p>
      <w:pPr>
        <w:numPr>
          <w:ilvl w:val="0"/>
          <w:numId w:val="9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sz w:val="24"/>
          <w:szCs w:val="22"/>
        </w:rPr>
        <w:t xml:space="preserve">Захаров, В. Ф. Сейсмостойкие многоэтажные здания : учеб. пособие для студ. вузов, обуч. по напр. подготовки 653550 - Строительство и спец. 270120.65 - </w:t>
      </w:r>
      <w:r>
        <w:rPr>
          <w:rFonts w:ascii="Times New Roman" w:hAnsi="Times New Roman"/>
          <w:sz w:val="24"/>
          <w:szCs w:val="24"/>
        </w:rPr>
        <w:t xml:space="preserve">Пром. и гражд. стр-во / В. Ф. Захаров, В. Н. Зиновьев, Г. И. Аносов ; ФГОУ ВПО "КГТУ". - Калининград : ФГОУ ВПО "КГТУ", 2011. - 295 с</w:t>
      </w:r>
      <w:r/>
    </w:p>
    <w:p>
      <w:pPr>
        <w:numPr>
          <w:ilvl w:val="0"/>
          <w:numId w:val="9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color w:val="303030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  <w:t xml:space="preserve">Электронно-образовательные ресурсы и ресурсы информационно-телекоммуникационной сети «Интернет»:  </w:t>
      </w:r>
      <w:r/>
    </w:p>
    <w:p>
      <w:pPr>
        <w:spacing w:after="0" w:line="240" w:lineRule="auto"/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303030"/>
          <w:sz w:val="24"/>
          <w:szCs w:val="24"/>
          <w:shd w:val="clear" w:color="auto" w:fill="ffffff"/>
        </w:rPr>
      </w:r>
      <w:r/>
    </w:p>
    <w:p>
      <w:pPr>
        <w:pStyle w:val="670"/>
        <w:numPr>
          <w:ilvl w:val="0"/>
          <w:numId w:val="10"/>
        </w:numPr>
        <w:spacing w:before="0" w:beforeAutospacing="0"/>
        <w:shd w:val="clear" w:color="auto" w:fill="ffffff"/>
        <w:rPr>
          <w:color w:val="303030"/>
        </w:rPr>
      </w:pPr>
      <w:r/>
      <w:hyperlink r:id="rId11" w:tooltip="http://www.obrnadzor.gov.ru" w:history="1">
        <w:r>
          <w:rPr>
            <w:rStyle w:val="648"/>
          </w:rPr>
          <w:t xml:space="preserve">http://www.obrnadzor.gov.ru</w:t>
        </w:r>
      </w:hyperlink>
      <w:r>
        <w:rPr>
          <w:color w:val="303030"/>
        </w:rPr>
        <w:t xml:space="preserve">  Рособрнадзор;</w:t>
      </w:r>
      <w:r/>
    </w:p>
    <w:p>
      <w:pPr>
        <w:pStyle w:val="670"/>
        <w:numPr>
          <w:ilvl w:val="0"/>
          <w:numId w:val="10"/>
        </w:numPr>
        <w:spacing w:before="0" w:beforeAutospacing="0"/>
        <w:shd w:val="clear" w:color="auto" w:fill="ffffff"/>
        <w:rPr>
          <w:color w:val="303030"/>
        </w:rPr>
      </w:pPr>
      <w:r/>
      <w:hyperlink r:id="rId12" w:tooltip="http://window.edu.ru" w:history="1">
        <w:r>
          <w:rPr>
            <w:rStyle w:val="648"/>
          </w:rPr>
          <w:t xml:space="preserve">http://window.edu.ru</w:t>
        </w:r>
      </w:hyperlink>
      <w:r>
        <w:rPr>
          <w:color w:val="303030"/>
        </w:rPr>
        <w:t xml:space="preserve">  – Единое окно доступа к образовательным ресурсам;</w:t>
      </w:r>
      <w:r/>
    </w:p>
    <w:p>
      <w:pPr>
        <w:pStyle w:val="670"/>
        <w:numPr>
          <w:ilvl w:val="0"/>
          <w:numId w:val="10"/>
        </w:numPr>
        <w:spacing w:before="0" w:beforeAutospacing="0"/>
        <w:shd w:val="clear" w:color="auto" w:fill="ffffff"/>
        <w:rPr>
          <w:color w:val="303030"/>
        </w:rPr>
      </w:pPr>
      <w:r/>
      <w:hyperlink r:id="rId13" w:tooltip="http://www.informika.ru" w:history="1">
        <w:r>
          <w:rPr>
            <w:rStyle w:val="648"/>
          </w:rPr>
          <w:t xml:space="preserve">http://www.informika.ru</w:t>
        </w:r>
      </w:hyperlink>
      <w:r>
        <w:rPr>
          <w:color w:val="303030"/>
        </w:rPr>
        <w:t xml:space="preserve">  – образовательный портал;</w:t>
      </w:r>
      <w:r/>
    </w:p>
    <w:p>
      <w:pPr>
        <w:pStyle w:val="670"/>
        <w:numPr>
          <w:ilvl w:val="0"/>
          <w:numId w:val="10"/>
        </w:numPr>
        <w:spacing w:before="0" w:beforeAutospacing="0"/>
        <w:shd w:val="clear" w:color="auto" w:fill="ffffff"/>
        <w:rPr>
          <w:color w:val="303030"/>
        </w:rPr>
      </w:pPr>
      <w:r/>
      <w:hyperlink r:id="rId14" w:tooltip="http://www.fio.ru" w:history="1">
        <w:r>
          <w:rPr>
            <w:rStyle w:val="648"/>
          </w:rPr>
          <w:t xml:space="preserve">http://www.fio.ru</w:t>
        </w:r>
      </w:hyperlink>
      <w:r>
        <w:rPr>
          <w:color w:val="303030"/>
        </w:rPr>
        <w:t xml:space="preserve">  – «Интернет-образование Российской Федерации»;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  <w:lang w:val="en-US"/>
        </w:rPr>
      </w:pPr>
      <w:r/>
      <w:hyperlink r:id="rId15" w:tooltip="http://www.ebiblioteka.ru" w:history="1">
        <w:r>
          <w:rPr>
            <w:rStyle w:val="648"/>
            <w:rFonts w:ascii="Times New Roman" w:hAnsi="Times New Roman"/>
            <w:sz w:val="24"/>
            <w:szCs w:val="24"/>
            <w:lang w:val="en-US"/>
          </w:rPr>
          <w:t xml:space="preserve">http</w:t>
        </w:r>
        <w:r>
          <w:rPr>
            <w:rStyle w:val="648"/>
            <w:rFonts w:ascii="Times New Roman" w:hAnsi="Times New Roman"/>
            <w:sz w:val="24"/>
            <w:szCs w:val="24"/>
          </w:rPr>
          <w:t xml:space="preserve">://</w:t>
        </w:r>
        <w:r>
          <w:rPr>
            <w:rStyle w:val="648"/>
            <w:rFonts w:ascii="Times New Roman" w:hAnsi="Times New Roman"/>
            <w:sz w:val="24"/>
            <w:szCs w:val="24"/>
            <w:lang w:val="en-US"/>
          </w:rPr>
          <w:t xml:space="preserve">www</w:t>
        </w:r>
        <w:r>
          <w:rPr>
            <w:rStyle w:val="648"/>
            <w:rFonts w:ascii="Times New Roman" w:hAnsi="Times New Roman"/>
            <w:sz w:val="24"/>
            <w:szCs w:val="24"/>
          </w:rPr>
          <w:t xml:space="preserve">.</w:t>
        </w:r>
        <w:r>
          <w:rPr>
            <w:rStyle w:val="648"/>
            <w:rFonts w:ascii="Times New Roman" w:hAnsi="Times New Roman"/>
            <w:sz w:val="24"/>
            <w:szCs w:val="24"/>
            <w:lang w:val="en-US"/>
          </w:rPr>
          <w:t xml:space="preserve">ebiblioteka</w:t>
        </w:r>
        <w:r>
          <w:rPr>
            <w:rStyle w:val="648"/>
            <w:rFonts w:ascii="Times New Roman" w:hAnsi="Times New Roman"/>
            <w:sz w:val="24"/>
            <w:szCs w:val="24"/>
          </w:rPr>
          <w:t xml:space="preserve">.</w:t>
        </w:r>
        <w:r>
          <w:rPr>
            <w:rStyle w:val="648"/>
            <w:rFonts w:ascii="Times New Roman" w:hAnsi="Times New Roman"/>
            <w:sz w:val="24"/>
            <w:szCs w:val="24"/>
            <w:lang w:val="en-US"/>
          </w:rPr>
          <w:t xml:space="preserve">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«ИВИС». Ресурсы</w:t>
      </w:r>
      <w:r>
        <w:rPr>
          <w:rFonts w:ascii="Times New Roman" w:hAnsi="Times New Roman"/>
          <w:color w:val="303030"/>
          <w:sz w:val="24"/>
          <w:szCs w:val="24"/>
          <w:lang w:val="en-US"/>
        </w:rPr>
        <w:t xml:space="preserve"> EastViewPublication;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  <w:lang w:val="en-US"/>
        </w:rPr>
      </w:pPr>
      <w:r/>
      <w:hyperlink r:id="rId16" w:tooltip="http://znanium.com" w:history="1">
        <w:r>
          <w:rPr>
            <w:rStyle w:val="648"/>
            <w:rFonts w:ascii="Times New Roman" w:hAnsi="Times New Roman"/>
            <w:sz w:val="24"/>
            <w:szCs w:val="24"/>
            <w:lang w:val="en-US"/>
          </w:rPr>
          <w:t xml:space="preserve">http://znanium.com</w:t>
        </w:r>
      </w:hyperlink>
      <w:r>
        <w:rPr>
          <w:rFonts w:ascii="Times New Roman" w:hAnsi="Times New Roman"/>
          <w:color w:val="303030"/>
          <w:sz w:val="24"/>
          <w:szCs w:val="24"/>
          <w:lang w:val="en-US"/>
        </w:rPr>
        <w:t xml:space="preserve"> – Znanium.com;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>
        <w:rPr>
          <w:rFonts w:ascii="Times New Roman" w:hAnsi="Times New Roman"/>
          <w:b/>
          <w:bCs/>
          <w:color w:val="303030"/>
          <w:sz w:val="24"/>
          <w:szCs w:val="24"/>
        </w:rPr>
        <w:t xml:space="preserve">Электронно-образовательные ресурсы (ЭОР)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17" w:tooltip="http://www.vosmgou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www.vosmgou.ru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Виртуальная образовательная среда МГОУ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18" w:tooltip="http://www.edu-it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http://www.edu-it.ru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портал «ИТ-образование в России»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19" w:tooltip="http://www.ict.edu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http://www.ict.edu.ru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система федеральных образовательных порталов «Информационно-коммуникационные технологии в образовании»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20" w:tooltip="http://www.mon.gov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http://www.mon.gov.ru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федеральный портал «Министерство образования и науки России»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21" w:tooltip="http://www.edu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http://www.edu.ru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  федеральный портал «Российское образование»  </w:t>
      </w:r>
      <w:hyperlink r:id="rId22" w:tooltip="http://www.gnpbu.ru/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http://www.gnpbu.ru/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 – «Научная педагогическая библиотека имени К. Д. Ушинского Российской академии образования» </w:t>
      </w:r>
      <w:r/>
    </w:p>
    <w:p>
      <w:pPr>
        <w:pStyle w:val="635"/>
        <w:numPr>
          <w:ilvl w:val="0"/>
          <w:numId w:val="10"/>
        </w:numPr>
        <w:spacing w:after="100" w:afterAutospacing="1" w:line="240" w:lineRule="auto"/>
        <w:shd w:val="clear" w:color="auto" w:fill="ffffff"/>
        <w:rPr>
          <w:rFonts w:ascii="Times New Roman" w:hAnsi="Times New Roman"/>
          <w:color w:val="303030"/>
          <w:sz w:val="24"/>
          <w:szCs w:val="24"/>
        </w:rPr>
      </w:pPr>
      <w:r/>
      <w:hyperlink r:id="rId23" w:tooltip="http://www.rvb.ru" w:history="1">
        <w:r>
          <w:rPr>
            <w:rStyle w:val="648"/>
            <w:rFonts w:ascii="Times New Roman" w:hAnsi="Times New Roman"/>
            <w:sz w:val="24"/>
            <w:szCs w:val="24"/>
          </w:rPr>
          <w:t xml:space="preserve">http://www.rvb.ru</w:t>
        </w:r>
      </w:hyperlink>
      <w:r>
        <w:rPr>
          <w:rFonts w:ascii="Times New Roman" w:hAnsi="Times New Roman"/>
          <w:color w:val="303030"/>
          <w:sz w:val="24"/>
          <w:szCs w:val="24"/>
        </w:rPr>
        <w:t xml:space="preserve"> – «Русская виртуальная библиотека»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xo thames">
    <w:panose1 w:val="05040102010807070707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b/>
        <w:bCs/>
        <w:i/>
        <w:iCs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7"/>
    <w:link w:val="62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7"/>
    <w:link w:val="62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7"/>
    <w:link w:val="62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7"/>
    <w:link w:val="62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7"/>
    <w:link w:val="626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7"/>
    <w:link w:val="665"/>
    <w:uiPriority w:val="10"/>
    <w:rPr>
      <w:sz w:val="48"/>
      <w:szCs w:val="48"/>
    </w:rPr>
  </w:style>
  <w:style w:type="character" w:styleId="37">
    <w:name w:val="Subtitle Char"/>
    <w:basedOn w:val="627"/>
    <w:link w:val="661"/>
    <w:uiPriority w:val="11"/>
    <w:rPr>
      <w:sz w:val="24"/>
      <w:szCs w:val="24"/>
    </w:rPr>
  </w:style>
  <w:style w:type="paragraph" w:styleId="38">
    <w:name w:val="Quote"/>
    <w:basedOn w:val="621"/>
    <w:next w:val="62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1"/>
    <w:next w:val="62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7"/>
    <w:link w:val="42"/>
    <w:uiPriority w:val="99"/>
  </w:style>
  <w:style w:type="paragraph" w:styleId="44">
    <w:name w:val="Footer"/>
    <w:basedOn w:val="62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7"/>
    <w:link w:val="44"/>
    <w:uiPriority w:val="99"/>
  </w:style>
  <w:style w:type="paragraph" w:styleId="46">
    <w:name w:val="Caption"/>
    <w:basedOn w:val="621"/>
    <w:next w:val="6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2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link w:val="630"/>
    <w:qFormat/>
  </w:style>
  <w:style w:type="paragraph" w:styleId="622">
    <w:name w:val="Heading 1"/>
    <w:next w:val="621"/>
    <w:link w:val="646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623">
    <w:name w:val="Heading 2"/>
    <w:next w:val="621"/>
    <w:link w:val="66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624">
    <w:name w:val="Heading 3"/>
    <w:next w:val="621"/>
    <w:link w:val="641"/>
    <w:uiPriority w:val="9"/>
    <w:qFormat/>
    <w:pPr>
      <w:outlineLvl w:val="2"/>
    </w:pPr>
    <w:rPr>
      <w:rFonts w:ascii="XO Thames" w:hAnsi="XO Thames"/>
      <w:b/>
      <w:i/>
    </w:rPr>
  </w:style>
  <w:style w:type="paragraph" w:styleId="625">
    <w:name w:val="Heading 4"/>
    <w:next w:val="621"/>
    <w:link w:val="66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626">
    <w:name w:val="Heading 5"/>
    <w:next w:val="621"/>
    <w:link w:val="645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styleId="627" w:default="1">
    <w:name w:val="Default Paragraph Font"/>
    <w:uiPriority w:val="1"/>
    <w:unhideWhenUsed/>
  </w:style>
  <w:style w:type="table" w:styleId="6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character" w:styleId="630" w:customStyle="1">
    <w:name w:val="Обычный1"/>
  </w:style>
  <w:style w:type="paragraph" w:styleId="631">
    <w:name w:val="toc 2"/>
    <w:next w:val="621"/>
    <w:link w:val="632"/>
    <w:uiPriority w:val="39"/>
    <w:pPr>
      <w:ind w:left="200"/>
    </w:pPr>
  </w:style>
  <w:style w:type="character" w:styleId="632" w:customStyle="1">
    <w:name w:val="Оглавление 2 Знак"/>
    <w:link w:val="631"/>
  </w:style>
  <w:style w:type="paragraph" w:styleId="633">
    <w:name w:val="toc 4"/>
    <w:next w:val="621"/>
    <w:link w:val="634"/>
    <w:uiPriority w:val="39"/>
    <w:pPr>
      <w:ind w:left="600"/>
    </w:pPr>
  </w:style>
  <w:style w:type="character" w:styleId="634" w:customStyle="1">
    <w:name w:val="Оглавление 4 Знак"/>
    <w:link w:val="633"/>
  </w:style>
  <w:style w:type="paragraph" w:styleId="635">
    <w:name w:val="List Paragraph"/>
    <w:basedOn w:val="621"/>
    <w:link w:val="636"/>
    <w:uiPriority w:val="34"/>
    <w:qFormat/>
    <w:pPr>
      <w:contextualSpacing/>
      <w:ind w:left="720"/>
    </w:pPr>
  </w:style>
  <w:style w:type="character" w:styleId="636" w:customStyle="1">
    <w:name w:val="Абзац списка Знак"/>
    <w:basedOn w:val="630"/>
    <w:link w:val="635"/>
  </w:style>
  <w:style w:type="paragraph" w:styleId="637">
    <w:name w:val="toc 6"/>
    <w:next w:val="621"/>
    <w:link w:val="638"/>
    <w:uiPriority w:val="39"/>
    <w:pPr>
      <w:ind w:left="1000"/>
    </w:pPr>
  </w:style>
  <w:style w:type="character" w:styleId="638" w:customStyle="1">
    <w:name w:val="Оглавление 6 Знак"/>
    <w:link w:val="637"/>
  </w:style>
  <w:style w:type="paragraph" w:styleId="639">
    <w:name w:val="toc 7"/>
    <w:next w:val="621"/>
    <w:link w:val="640"/>
    <w:uiPriority w:val="39"/>
    <w:pPr>
      <w:ind w:left="1200"/>
    </w:pPr>
  </w:style>
  <w:style w:type="character" w:styleId="640" w:customStyle="1">
    <w:name w:val="Оглавление 7 Знак"/>
    <w:link w:val="639"/>
  </w:style>
  <w:style w:type="character" w:styleId="641" w:customStyle="1">
    <w:name w:val="Заголовок 3 Знак"/>
    <w:link w:val="624"/>
    <w:rPr>
      <w:rFonts w:ascii="XO Thames" w:hAnsi="XO Thames"/>
      <w:b/>
      <w:i/>
      <w:color w:val="000000"/>
    </w:rPr>
  </w:style>
  <w:style w:type="paragraph" w:styleId="642" w:customStyle="1">
    <w:name w:val="Основной шрифт абзаца1"/>
  </w:style>
  <w:style w:type="paragraph" w:styleId="643">
    <w:name w:val="toc 3"/>
    <w:next w:val="621"/>
    <w:link w:val="644"/>
    <w:uiPriority w:val="39"/>
    <w:pPr>
      <w:ind w:left="400"/>
    </w:pPr>
  </w:style>
  <w:style w:type="character" w:styleId="644" w:customStyle="1">
    <w:name w:val="Оглавление 3 Знак"/>
    <w:link w:val="643"/>
  </w:style>
  <w:style w:type="character" w:styleId="645" w:customStyle="1">
    <w:name w:val="Заголовок 5 Знак"/>
    <w:link w:val="626"/>
    <w:rPr>
      <w:rFonts w:ascii="XO Thames" w:hAnsi="XO Thames"/>
      <w:b/>
      <w:color w:val="000000"/>
      <w:sz w:val="22"/>
    </w:rPr>
  </w:style>
  <w:style w:type="character" w:styleId="646" w:customStyle="1">
    <w:name w:val="Заголовок 1 Знак"/>
    <w:link w:val="622"/>
    <w:rPr>
      <w:rFonts w:ascii="XO Thames" w:hAnsi="XO Thames"/>
      <w:b/>
      <w:sz w:val="32"/>
    </w:rPr>
  </w:style>
  <w:style w:type="paragraph" w:styleId="647" w:customStyle="1">
    <w:name w:val="Гиперссылка1"/>
    <w:basedOn w:val="642"/>
    <w:link w:val="648"/>
    <w:rPr>
      <w:color w:val="0000ff" w:themeColor="hyperlink"/>
      <w:u w:val="single"/>
    </w:rPr>
  </w:style>
  <w:style w:type="character" w:styleId="648">
    <w:name w:val="Hyperlink"/>
    <w:basedOn w:val="627"/>
    <w:link w:val="647"/>
    <w:uiPriority w:val="99"/>
    <w:rPr>
      <w:color w:val="0000ff" w:themeColor="hyperlink"/>
      <w:u w:val="single"/>
    </w:rPr>
  </w:style>
  <w:style w:type="paragraph" w:styleId="649" w:customStyle="1">
    <w:name w:val="Footnote"/>
    <w:link w:val="650"/>
    <w:rPr>
      <w:rFonts w:ascii="XO Thames" w:hAnsi="XO Thames"/>
    </w:rPr>
  </w:style>
  <w:style w:type="character" w:styleId="650" w:customStyle="1">
    <w:name w:val="Footnote"/>
    <w:link w:val="649"/>
    <w:rPr>
      <w:rFonts w:ascii="XO Thames" w:hAnsi="XO Thames"/>
      <w:sz w:val="22"/>
    </w:rPr>
  </w:style>
  <w:style w:type="paragraph" w:styleId="651">
    <w:name w:val="toc 1"/>
    <w:next w:val="621"/>
    <w:link w:val="652"/>
    <w:uiPriority w:val="39"/>
    <w:rPr>
      <w:rFonts w:ascii="XO Thames" w:hAnsi="XO Thames"/>
      <w:b/>
    </w:rPr>
  </w:style>
  <w:style w:type="character" w:styleId="652" w:customStyle="1">
    <w:name w:val="Оглавление 1 Знак"/>
    <w:link w:val="651"/>
    <w:rPr>
      <w:rFonts w:ascii="XO Thames" w:hAnsi="XO Thames"/>
      <w:b/>
    </w:rPr>
  </w:style>
  <w:style w:type="paragraph" w:styleId="653" w:customStyle="1">
    <w:name w:val="Header and Footer"/>
    <w:link w:val="654"/>
    <w:pPr>
      <w:spacing w:line="360" w:lineRule="auto"/>
    </w:pPr>
    <w:rPr>
      <w:rFonts w:ascii="XO Thames" w:hAnsi="XO Thames"/>
      <w:sz w:val="20"/>
    </w:rPr>
  </w:style>
  <w:style w:type="character" w:styleId="654" w:customStyle="1">
    <w:name w:val="Header and Footer"/>
    <w:link w:val="653"/>
    <w:rPr>
      <w:rFonts w:ascii="XO Thames" w:hAnsi="XO Thames"/>
      <w:sz w:val="20"/>
    </w:rPr>
  </w:style>
  <w:style w:type="paragraph" w:styleId="655">
    <w:name w:val="toc 9"/>
    <w:next w:val="621"/>
    <w:link w:val="656"/>
    <w:uiPriority w:val="39"/>
    <w:pPr>
      <w:ind w:left="1600"/>
    </w:pPr>
  </w:style>
  <w:style w:type="character" w:styleId="656" w:customStyle="1">
    <w:name w:val="Оглавление 9 Знак"/>
    <w:link w:val="655"/>
  </w:style>
  <w:style w:type="paragraph" w:styleId="657">
    <w:name w:val="toc 8"/>
    <w:next w:val="621"/>
    <w:link w:val="658"/>
    <w:uiPriority w:val="39"/>
    <w:pPr>
      <w:ind w:left="1400"/>
    </w:pPr>
  </w:style>
  <w:style w:type="character" w:styleId="658" w:customStyle="1">
    <w:name w:val="Оглавление 8 Знак"/>
    <w:link w:val="657"/>
  </w:style>
  <w:style w:type="paragraph" w:styleId="659">
    <w:name w:val="toc 5"/>
    <w:next w:val="621"/>
    <w:link w:val="660"/>
    <w:uiPriority w:val="39"/>
    <w:pPr>
      <w:ind w:left="800"/>
    </w:pPr>
  </w:style>
  <w:style w:type="character" w:styleId="660" w:customStyle="1">
    <w:name w:val="Оглавление 5 Знак"/>
    <w:link w:val="659"/>
  </w:style>
  <w:style w:type="paragraph" w:styleId="661">
    <w:name w:val="Subtitle"/>
    <w:next w:val="621"/>
    <w:link w:val="662"/>
    <w:uiPriority w:val="11"/>
    <w:qFormat/>
    <w:rPr>
      <w:rFonts w:ascii="XO Thames" w:hAnsi="XO Thames"/>
      <w:i/>
      <w:color w:val="616161"/>
      <w:sz w:val="24"/>
    </w:rPr>
  </w:style>
  <w:style w:type="character" w:styleId="662" w:customStyle="1">
    <w:name w:val="Подзаголовок Знак"/>
    <w:link w:val="661"/>
    <w:rPr>
      <w:rFonts w:ascii="XO Thames" w:hAnsi="XO Thames"/>
      <w:i/>
      <w:color w:val="616161"/>
      <w:sz w:val="24"/>
    </w:rPr>
  </w:style>
  <w:style w:type="paragraph" w:styleId="663" w:customStyle="1">
    <w:name w:val="toc 10"/>
    <w:next w:val="621"/>
    <w:link w:val="664"/>
    <w:uiPriority w:val="39"/>
    <w:pPr>
      <w:ind w:left="1800"/>
    </w:pPr>
  </w:style>
  <w:style w:type="character" w:styleId="664" w:customStyle="1">
    <w:name w:val="toc 10"/>
    <w:link w:val="663"/>
  </w:style>
  <w:style w:type="paragraph" w:styleId="665">
    <w:name w:val="Title"/>
    <w:next w:val="621"/>
    <w:link w:val="666"/>
    <w:uiPriority w:val="10"/>
    <w:qFormat/>
    <w:rPr>
      <w:rFonts w:ascii="XO Thames" w:hAnsi="XO Thames"/>
      <w:b/>
      <w:sz w:val="52"/>
    </w:rPr>
  </w:style>
  <w:style w:type="character" w:styleId="666" w:customStyle="1">
    <w:name w:val="Заголовок Знак"/>
    <w:link w:val="665"/>
    <w:rPr>
      <w:rFonts w:ascii="XO Thames" w:hAnsi="XO Thames"/>
      <w:b/>
      <w:sz w:val="52"/>
    </w:rPr>
  </w:style>
  <w:style w:type="character" w:styleId="667" w:customStyle="1">
    <w:name w:val="Заголовок 4 Знак"/>
    <w:link w:val="625"/>
    <w:rPr>
      <w:rFonts w:ascii="XO Thames" w:hAnsi="XO Thames"/>
      <w:b/>
      <w:color w:val="595959"/>
      <w:sz w:val="26"/>
    </w:rPr>
  </w:style>
  <w:style w:type="character" w:styleId="668" w:customStyle="1">
    <w:name w:val="Заголовок 2 Знак"/>
    <w:link w:val="623"/>
    <w:rPr>
      <w:rFonts w:ascii="XO Thames" w:hAnsi="XO Thames"/>
      <w:b/>
      <w:color w:val="00a0ff"/>
      <w:sz w:val="26"/>
    </w:rPr>
  </w:style>
  <w:style w:type="table" w:styleId="669">
    <w:name w:val="Table Grid"/>
    <w:basedOn w:val="6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70">
    <w:name w:val="Normal (Web)"/>
    <w:basedOn w:val="62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671" w:customStyle="1">
    <w:name w:val="p56"/>
    <w:basedOn w:val="62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672" w:customStyle="1">
    <w:name w:val="ft145"/>
    <w:basedOn w:val="627"/>
  </w:style>
  <w:style w:type="paragraph" w:styleId="673" w:customStyle="1">
    <w:name w:val="p61"/>
    <w:basedOn w:val="62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674" w:customStyle="1">
    <w:name w:val="ft8"/>
    <w:basedOn w:val="627"/>
  </w:style>
  <w:style w:type="character" w:styleId="675" w:customStyle="1">
    <w:name w:val="ft148"/>
    <w:basedOn w:val="62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xn--80abucjiibhv9a.xn--p1ai/%D0%B4%D0%BE%D0%BA%D1%83%D0%BC%D0%B5%D0%BD%D1%82%D1%8B" TargetMode="External"/><Relationship Id="rId11" Type="http://schemas.openxmlformats.org/officeDocument/2006/relationships/hyperlink" Target="http://www.obrnadzor.gov.ru" TargetMode="External"/><Relationship Id="rId12" Type="http://schemas.openxmlformats.org/officeDocument/2006/relationships/hyperlink" Target="http://window.edu.ru" TargetMode="External"/><Relationship Id="rId13" Type="http://schemas.openxmlformats.org/officeDocument/2006/relationships/hyperlink" Target="http://www.informika.ru" TargetMode="External"/><Relationship Id="rId14" Type="http://schemas.openxmlformats.org/officeDocument/2006/relationships/hyperlink" Target="http://www.fio.ru" TargetMode="External"/><Relationship Id="rId15" Type="http://schemas.openxmlformats.org/officeDocument/2006/relationships/hyperlink" Target="http://www.ebiblioteka.ru" TargetMode="External"/><Relationship Id="rId16" Type="http://schemas.openxmlformats.org/officeDocument/2006/relationships/hyperlink" Target="http://znanium.com" TargetMode="External"/><Relationship Id="rId17" Type="http://schemas.openxmlformats.org/officeDocument/2006/relationships/hyperlink" Target="http://www.vosmgou.ru" TargetMode="External"/><Relationship Id="rId18" Type="http://schemas.openxmlformats.org/officeDocument/2006/relationships/hyperlink" Target="http://www.edu-it.ru" TargetMode="External"/><Relationship Id="rId19" Type="http://schemas.openxmlformats.org/officeDocument/2006/relationships/hyperlink" Target="http://www.ict.edu.ru" TargetMode="External"/><Relationship Id="rId20" Type="http://schemas.openxmlformats.org/officeDocument/2006/relationships/hyperlink" Target="http://www.mon.gov.ru" TargetMode="External"/><Relationship Id="rId21" Type="http://schemas.openxmlformats.org/officeDocument/2006/relationships/hyperlink" Target="http://www.edu.ru" TargetMode="External"/><Relationship Id="rId22" Type="http://schemas.openxmlformats.org/officeDocument/2006/relationships/hyperlink" Target="http://www.gnpbu.ru/" TargetMode="External"/><Relationship Id="rId23" Type="http://schemas.openxmlformats.org/officeDocument/2006/relationships/hyperlink" Target="http://www.rv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A7CFA-A31E-4373-86F6-8D7A3E223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Зулихан Дангаева</cp:lastModifiedBy>
  <cp:revision>11</cp:revision>
  <dcterms:created xsi:type="dcterms:W3CDTF">2023-01-24T13:18:00Z</dcterms:created>
  <dcterms:modified xsi:type="dcterms:W3CDTF">2023-07-30T16:52:58Z</dcterms:modified>
</cp:coreProperties>
</file>